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519B8" w14:textId="77777777" w:rsidR="00A45D8D" w:rsidRPr="00A45D8D" w:rsidRDefault="00A45D8D" w:rsidP="00A45D8D">
      <w:pPr>
        <w:jc w:val="center"/>
        <w:rPr>
          <w:b/>
          <w:bCs/>
        </w:rPr>
      </w:pPr>
      <w:r w:rsidRPr="00A45D8D">
        <w:rPr>
          <w:b/>
          <w:bCs/>
          <w:rtl/>
          <w:lang w:bidi="he-IL"/>
        </w:rPr>
        <w:t>קריאה דחופה לעצירת ההידרדרות ההומניטרית ולמניעת סכנת העקירה הכפויה בחברון, במסאפר יטא ובכל רחבי הגדה המערבית</w:t>
      </w:r>
    </w:p>
    <w:p w14:paraId="0858A102" w14:textId="77777777" w:rsidR="00A45D8D" w:rsidRPr="00A45D8D" w:rsidRDefault="00A45D8D" w:rsidP="00A45D8D">
      <w:pPr>
        <w:jc w:val="center"/>
        <w:rPr>
          <w:b/>
          <w:bCs/>
          <w:rtl/>
        </w:rPr>
      </w:pPr>
      <w:r w:rsidRPr="00A45D8D">
        <w:rPr>
          <w:b/>
          <w:bCs/>
          <w:rtl/>
          <w:lang w:bidi="he-IL"/>
        </w:rPr>
        <w:t>אנו, ארגוני החברה האזרחית החתומים מטה, עוקבים בדאגה עמוקה, בזעם ובגינוי אחר ההסלמה החמורה המתחוללת בעיר חברון ובסביבתה, וכן ברחבי הגדה המערבית הכבושה, בעקבות הפעולות הצבאיות הישראליות והתקפות המתנחלים המתמשכות. פעולות אלה מלוות בפשיטות, בעקירה, בהריסת מבנים ובתים, בסגרים ובמצור, בהגבלת חופש התנועה, בתקיפות נגד אזרחים ורכושם ובפגיעה בביטחונם וביכולתם להמשיך להתקיים על אדמתם.</w:t>
      </w:r>
    </w:p>
    <w:p w14:paraId="4B257243" w14:textId="77777777" w:rsidR="00A45D8D" w:rsidRPr="00A45D8D" w:rsidRDefault="00A45D8D" w:rsidP="00A45D8D">
      <w:pPr>
        <w:jc w:val="center"/>
        <w:rPr>
          <w:b/>
          <w:bCs/>
          <w:rtl/>
        </w:rPr>
      </w:pPr>
      <w:r w:rsidRPr="00A45D8D">
        <w:rPr>
          <w:b/>
          <w:bCs/>
          <w:rtl/>
          <w:lang w:bidi="he-IL"/>
        </w:rPr>
        <w:t>אנו מדגישים את חומרת ההידרדרות המהירה במצב ההומניטרי בקהילות הפלסטיניות, ובייחוד בחברון, במסאפר יטא ובקהילות הבדואיות בדרום הגדה המערבית. חסימת דרכים וההגבלות המוטלות על תנועת התושבים מלוות בקשיים הולכים וגוברים בגישה למים, לשירותי בריאות וחינוך ולאדמות חקלאיות. מצב זה הביא עד כה לעקירתם של יותר מ־3,000 תושבים, שנותרו ללא קורת גג.</w:t>
      </w:r>
    </w:p>
    <w:p w14:paraId="769D5871" w14:textId="77777777" w:rsidR="00A45D8D" w:rsidRPr="00A45D8D" w:rsidRDefault="00A45D8D" w:rsidP="00A45D8D">
      <w:pPr>
        <w:jc w:val="center"/>
        <w:rPr>
          <w:b/>
          <w:bCs/>
          <w:rtl/>
        </w:rPr>
      </w:pPr>
    </w:p>
    <w:p w14:paraId="0D56DAAB" w14:textId="77777777" w:rsidR="00A45D8D" w:rsidRPr="00A45D8D" w:rsidRDefault="00A45D8D" w:rsidP="00A45D8D">
      <w:pPr>
        <w:jc w:val="center"/>
        <w:rPr>
          <w:rtl/>
        </w:rPr>
      </w:pPr>
    </w:p>
    <w:p w14:paraId="580F9016" w14:textId="77777777" w:rsidR="00A45D8D" w:rsidRPr="00A45D8D" w:rsidRDefault="00A45D8D" w:rsidP="00A45D8D">
      <w:pPr>
        <w:jc w:val="center"/>
        <w:rPr>
          <w:rtl/>
        </w:rPr>
      </w:pPr>
      <w:r w:rsidRPr="00A45D8D">
        <w:rPr>
          <w:rtl/>
          <w:lang w:bidi="he-IL"/>
        </w:rPr>
        <w:t>אנו מזהירים כי המשך הפרקטיקות הללו אינו מאיים רק על חיי היומיום של התושבים, אלא גם מערער את יסודות החוסן הכלכלי והחברתי שלהם, מגביר את הסיכון לעקירה ולגירוש כפוי ומאיים על הנוכחות הפלסטינית באזורים אלה. פרקטיקות אלה, הכרוכות בהפרות חמורות של זכויות האדם ושל המשפט ההומניטרי הבינלאומי, מהוות איום ישיר על חייהם ועל כבודם של הפלסטינים, פוגעות בסיכויים להשגת שלום צודק ובר־קיימא ודוחפות את האזור לעבר אלימות וחוסר יציבות נוספים.</w:t>
      </w:r>
    </w:p>
    <w:p w14:paraId="68177E25" w14:textId="77777777" w:rsidR="00A45D8D" w:rsidRPr="00A45D8D" w:rsidRDefault="00A45D8D" w:rsidP="00A45D8D">
      <w:pPr>
        <w:jc w:val="center"/>
        <w:rPr>
          <w:rtl/>
        </w:rPr>
      </w:pPr>
      <w:r w:rsidRPr="00A45D8D">
        <w:rPr>
          <w:rtl/>
          <w:lang w:bidi="he-IL"/>
        </w:rPr>
        <w:t>אנו מדגישים כי ישראל, ככוח הכובש, נושאת באחריות המשפטית להגנה על האוכלוסייה האזרחית הפלסטינית, בהתאם למשפט ההומניטרי הבינלאומי ולהחלטות הבינלאומיות בדבר אי־חוקיות המשך הנוכחות הישראלית בשטח הפלסטיני שנכבש בשנת 1967, לרבות מזרח ירושלים, ובהתאם לחובות המשפטיות הנובעות מכך המוטלות על ישראל ועל מדינות אחרות.</w:t>
      </w:r>
    </w:p>
    <w:p w14:paraId="684F4FB2" w14:textId="77777777" w:rsidR="00A45D8D" w:rsidRPr="00A45D8D" w:rsidRDefault="00A45D8D" w:rsidP="00A45D8D">
      <w:pPr>
        <w:jc w:val="center"/>
        <w:rPr>
          <w:rtl/>
        </w:rPr>
      </w:pPr>
    </w:p>
    <w:p w14:paraId="45B13BFA" w14:textId="77777777" w:rsidR="00A45D8D" w:rsidRPr="00A45D8D" w:rsidRDefault="00A45D8D" w:rsidP="00A45D8D">
      <w:pPr>
        <w:jc w:val="center"/>
        <w:rPr>
          <w:rtl/>
        </w:rPr>
      </w:pPr>
    </w:p>
    <w:p w14:paraId="3B56B745" w14:textId="77777777" w:rsidR="00A45D8D" w:rsidRPr="00A45D8D" w:rsidRDefault="00A45D8D" w:rsidP="00A45D8D">
      <w:pPr>
        <w:jc w:val="center"/>
        <w:rPr>
          <w:rtl/>
        </w:rPr>
      </w:pPr>
      <w:r w:rsidRPr="00A45D8D">
        <w:rPr>
          <w:rtl/>
          <w:lang w:bidi="he-IL"/>
        </w:rPr>
        <w:t>מתוך אחריותנו המוסרית וההומניטרית, אנו מדגישים כי הסתפקות בהצהרות דיפלומטיות המביעות דאגה אינה מספקת עוד כדי לעצור את ההידרדרות או להגן על האזרחים הנפגעים. לפיכך, אנו קוראים לקהילה הבינלאומית ולגורמים בעלי ההשפעה למלא את אחריותם ולנקוט את הצעדים הבאים:</w:t>
      </w:r>
    </w:p>
    <w:p w14:paraId="08C1968E" w14:textId="77777777" w:rsidR="00A45D8D" w:rsidRPr="00A45D8D" w:rsidRDefault="00A45D8D" w:rsidP="00A45D8D">
      <w:pPr>
        <w:jc w:val="center"/>
        <w:rPr>
          <w:rtl/>
        </w:rPr>
      </w:pPr>
    </w:p>
    <w:p w14:paraId="05B979D1" w14:textId="77777777" w:rsidR="00A45D8D" w:rsidRPr="00A45D8D" w:rsidRDefault="00A45D8D" w:rsidP="00A45D8D">
      <w:pPr>
        <w:jc w:val="center"/>
        <w:rPr>
          <w:rtl/>
        </w:rPr>
      </w:pPr>
      <w:r w:rsidRPr="00A45D8D">
        <w:rPr>
          <w:rtl/>
        </w:rPr>
        <w:t xml:space="preserve">1. </w:t>
      </w:r>
      <w:r w:rsidRPr="00A45D8D">
        <w:rPr>
          <w:rtl/>
          <w:lang w:bidi="he-IL"/>
        </w:rPr>
        <w:t>התערבות בינלאומית מיידית ודחופה מצד האו"ם, מועצת הביטחון והמדינות שהן צד לאמנות ז'נבה, כדי להבטיח הגנה אפקטיבית על האזרחים הפלסטינים ולחייב את רשויות הכיבוש להפסיק את כל צורות ההגבלות וההתעמרות, את הריסת בתי המגורים ואת התקפות המתנחלים; להסיר את ההגבלות המחמירות על תנועת התושבים בקהילות וביישובים שנפגעו; להבטיח גישה בלתי מופרעת לשירותי רפואה ולסיוע הומניטרי; ולאפשר את הכנסת הסחורות דרך המעברים.</w:t>
      </w:r>
    </w:p>
    <w:p w14:paraId="3782EB31" w14:textId="77777777" w:rsidR="00A45D8D" w:rsidRPr="00A45D8D" w:rsidRDefault="00A45D8D" w:rsidP="00A45D8D">
      <w:pPr>
        <w:jc w:val="center"/>
        <w:rPr>
          <w:rtl/>
        </w:rPr>
      </w:pPr>
    </w:p>
    <w:p w14:paraId="34858D58" w14:textId="77777777" w:rsidR="00A45D8D" w:rsidRPr="00A45D8D" w:rsidRDefault="00A45D8D" w:rsidP="00A45D8D">
      <w:pPr>
        <w:jc w:val="center"/>
        <w:rPr>
          <w:rtl/>
        </w:rPr>
      </w:pPr>
      <w:r w:rsidRPr="00A45D8D">
        <w:rPr>
          <w:rtl/>
        </w:rPr>
        <w:t xml:space="preserve">2. </w:t>
      </w:r>
      <w:r w:rsidRPr="00A45D8D">
        <w:rPr>
          <w:rtl/>
          <w:lang w:bidi="he-IL"/>
        </w:rPr>
        <w:t>הפעלת מנגנוני האחריותיות הבינלאומיים וקיום חקירות עצמאיות בדבר ההפרות, תוך העמדת האחראים לדין ונקיטת צעדים משפטיים ודיפלומטיים ממשיים שימנעו את המשך הפטור מעונש. יש לתרגם את העמדות הבינלאומיות המוצהרות לצעדים מעשיים וברורים, שיבטיחו כי האחראים להפרות בשטח יישאו באחריות ויצמצמו את האפשרות להמשך מדיניות זו.</w:t>
      </w:r>
    </w:p>
    <w:p w14:paraId="028C3AF2" w14:textId="77777777" w:rsidR="00A45D8D" w:rsidRPr="00A45D8D" w:rsidRDefault="00A45D8D" w:rsidP="00A45D8D">
      <w:pPr>
        <w:jc w:val="center"/>
        <w:rPr>
          <w:rtl/>
        </w:rPr>
      </w:pPr>
    </w:p>
    <w:p w14:paraId="58BDFE73" w14:textId="77777777" w:rsidR="00A45D8D" w:rsidRPr="00A45D8D" w:rsidRDefault="00A45D8D" w:rsidP="00A45D8D">
      <w:pPr>
        <w:jc w:val="center"/>
        <w:rPr>
          <w:rtl/>
        </w:rPr>
      </w:pPr>
      <w:r w:rsidRPr="00A45D8D">
        <w:rPr>
          <w:rtl/>
        </w:rPr>
        <w:t xml:space="preserve">3. </w:t>
      </w:r>
      <w:r w:rsidRPr="00A45D8D">
        <w:rPr>
          <w:rtl/>
          <w:lang w:bidi="he-IL"/>
        </w:rPr>
        <w:t>פעולה דחופה מצד האיחוד האירופי, ארצות הברית, מדינות ערב והמדינות המוסלמיות ושאר הגורמים הבינלאומיים בעלי ההשפעה, במטרה להפעיל לחץ להפסקת ההסלמה וההתנחלות, להגן על זכויותיהם הבלתי ניתנות לשלילה של הפלסטינים, ובראשן הזכות להגדרה עצמית, לנצל את הכלים הדיפלומטיים והמשפטיים העומדים לרשותם, לנקוט צעדים ממוקדים נגד האחראים להתקפות חמורות ולהבטיח שמדיניותם לא תתרום להמשך המצב הבלתי חוקי בשטח הפלסטיני הכבוש.</w:t>
      </w:r>
    </w:p>
    <w:p w14:paraId="0BD765E3" w14:textId="77777777" w:rsidR="00A45D8D" w:rsidRPr="00A45D8D" w:rsidRDefault="00A45D8D" w:rsidP="00A45D8D">
      <w:pPr>
        <w:jc w:val="center"/>
        <w:rPr>
          <w:rtl/>
        </w:rPr>
      </w:pPr>
    </w:p>
    <w:p w14:paraId="616C735B" w14:textId="77777777" w:rsidR="00A45D8D" w:rsidRPr="00A45D8D" w:rsidRDefault="00A45D8D" w:rsidP="00A45D8D">
      <w:pPr>
        <w:jc w:val="center"/>
        <w:rPr>
          <w:rtl/>
        </w:rPr>
      </w:pPr>
      <w:r w:rsidRPr="00A45D8D">
        <w:rPr>
          <w:rtl/>
        </w:rPr>
        <w:t xml:space="preserve">4. </w:t>
      </w:r>
      <w:r w:rsidRPr="00A45D8D">
        <w:rPr>
          <w:rtl/>
          <w:lang w:bidi="he-IL"/>
        </w:rPr>
        <w:t>הבטחת גישה הומניטרית בטוחה ומתמשכת לקהילות הפלסטיניות שנפגעו, לרבות אספקה סדירה של מי שתייה, פתיחת דרכים למעבר אמבולנסים, צוותי סיוע הומניטרי ושירותים חיוניים, והגנה על אדמות חקלאיות, מקורות מים ואמצעי המחיה. כמו כן, אנו קוראים לגורמים הבינלאומיים המוסמכים לתעד הפרות אלה ולעקוב אחר השלכותיהן על יכולתם של התושבים להמשיך להתגורר באדמותיהם.</w:t>
      </w:r>
    </w:p>
    <w:p w14:paraId="18924540" w14:textId="77777777" w:rsidR="00A45D8D" w:rsidRPr="00A45D8D" w:rsidRDefault="00A45D8D" w:rsidP="00A45D8D">
      <w:pPr>
        <w:jc w:val="center"/>
        <w:rPr>
          <w:rtl/>
        </w:rPr>
      </w:pPr>
    </w:p>
    <w:p w14:paraId="3E775DE6" w14:textId="77777777" w:rsidR="00A45D8D" w:rsidRPr="00A45D8D" w:rsidRDefault="00A45D8D" w:rsidP="00A45D8D">
      <w:pPr>
        <w:jc w:val="center"/>
        <w:rPr>
          <w:rtl/>
        </w:rPr>
      </w:pPr>
      <w:r w:rsidRPr="00A45D8D">
        <w:rPr>
          <w:rtl/>
        </w:rPr>
        <w:t xml:space="preserve">5. </w:t>
      </w:r>
      <w:r w:rsidRPr="00A45D8D">
        <w:rPr>
          <w:rtl/>
          <w:lang w:bidi="he-IL"/>
        </w:rPr>
        <w:t>פעולה לקידום אופק מדיני רציני ומעשי לשלום, תוך הדגשת העקרונות של הצהרת ניו יורק והחלטת מועצת הביטחון 2803, באופן שיוביל להקמת מדינה פלסטינית ריבונית ובת־קיימא לצד מדינת ישראל, ויבטיח לשני העמים חיים בשלום, בביטחון, בשוויון ובהכרה הדדית.</w:t>
      </w:r>
    </w:p>
    <w:p w14:paraId="045A1C7F" w14:textId="77777777" w:rsidR="00A45D8D" w:rsidRPr="00A45D8D" w:rsidRDefault="00A45D8D" w:rsidP="00A45D8D">
      <w:pPr>
        <w:jc w:val="center"/>
        <w:rPr>
          <w:rtl/>
        </w:rPr>
      </w:pPr>
      <w:r w:rsidRPr="00A45D8D">
        <w:rPr>
          <w:rtl/>
          <w:lang w:bidi="he-IL"/>
        </w:rPr>
        <w:t>אנו מדגישים כי שלום אמיתי אינו יכול להתקיים תחת כיבוש, התנחלות, עקירה כפויה, אלימות ופטור מעונש, אלא חייב להתבסס על צדק, שוויון, חירות, כיבוד המשפט הבינלאומי וזכותו של העם הפלסטיני להגדרה עצמית.</w:t>
      </w:r>
    </w:p>
    <w:p w14:paraId="1003E2BF" w14:textId="77777777" w:rsidR="00A45D8D" w:rsidRPr="00A45D8D" w:rsidRDefault="00A45D8D" w:rsidP="00A45D8D">
      <w:pPr>
        <w:jc w:val="center"/>
        <w:rPr>
          <w:rtl/>
        </w:rPr>
      </w:pPr>
    </w:p>
    <w:p w14:paraId="001E6C1E" w14:textId="77777777" w:rsidR="00A45D8D" w:rsidRPr="00A45D8D" w:rsidRDefault="00A45D8D" w:rsidP="00A45D8D">
      <w:pPr>
        <w:jc w:val="center"/>
        <w:rPr>
          <w:rtl/>
        </w:rPr>
      </w:pPr>
      <w:r w:rsidRPr="00A45D8D">
        <w:rPr>
          <w:rtl/>
          <w:lang w:bidi="he-IL"/>
        </w:rPr>
        <w:t>לפיכך, השתיקה הבינלאומית וההסתפקות בהצהרות גינוי לנוכח הפרות אלה אינן עוד מתקבלות על הדעת. ההגנה על האזרחים הפלסטינים, הפסקת ההתקפות והעמדת האחראים להן לדין הן חובה משפטית ומוסרית שאינה סובלת דיחוי, ומחייבת פעולה בינלאומית מיידית ואפקטיבית.</w:t>
      </w:r>
    </w:p>
    <w:p w14:paraId="2A266D40" w14:textId="77777777" w:rsidR="00A45D8D" w:rsidRPr="00A45D8D" w:rsidRDefault="00A45D8D" w:rsidP="00A45D8D">
      <w:pPr>
        <w:jc w:val="right"/>
        <w:rPr>
          <w:rtl/>
        </w:rPr>
      </w:pPr>
    </w:p>
    <w:p w14:paraId="1F3A0C7E" w14:textId="77777777" w:rsidR="00A45D8D" w:rsidRPr="00DA36E6" w:rsidRDefault="00A45D8D" w:rsidP="00A45D8D">
      <w:pPr>
        <w:jc w:val="right"/>
        <w:rPr>
          <w:b/>
          <w:bCs/>
          <w:rtl/>
        </w:rPr>
      </w:pPr>
      <w:r w:rsidRPr="00DA36E6">
        <w:rPr>
          <w:b/>
          <w:bCs/>
          <w:rtl/>
        </w:rPr>
        <w:t>26</w:t>
      </w:r>
      <w:r w:rsidRPr="00DA36E6">
        <w:rPr>
          <w:b/>
          <w:bCs/>
          <w:rtl/>
          <w:lang w:bidi="he-IL"/>
        </w:rPr>
        <w:t xml:space="preserve"> באוקטובר 2026</w:t>
      </w:r>
    </w:p>
    <w:p w14:paraId="10FDF047" w14:textId="77777777" w:rsidR="00A45D8D" w:rsidRPr="00DA36E6" w:rsidRDefault="00A45D8D" w:rsidP="00A45D8D">
      <w:pPr>
        <w:jc w:val="right"/>
        <w:rPr>
          <w:b/>
          <w:bCs/>
          <w:rtl/>
        </w:rPr>
      </w:pPr>
      <w:r w:rsidRPr="00DA36E6">
        <w:rPr>
          <w:b/>
          <w:bCs/>
          <w:rtl/>
          <w:lang w:bidi="he-IL"/>
        </w:rPr>
        <w:t>הארגונים החתומים:</w:t>
      </w:r>
    </w:p>
    <w:p w14:paraId="78F7979A" w14:textId="00373D8E" w:rsidR="00A45D8D" w:rsidRPr="00A45D8D" w:rsidRDefault="00A45D8D" w:rsidP="00A45D8D">
      <w:pPr>
        <w:jc w:val="right"/>
        <w:rPr>
          <w:rtl/>
        </w:rPr>
      </w:pPr>
      <w:r w:rsidRPr="00A45D8D">
        <w:rPr>
          <w:rtl/>
          <w:lang w:bidi="he-IL"/>
        </w:rPr>
        <w:t xml:space="preserve">מרכז ירושלים לנשים </w:t>
      </w:r>
      <w:r w:rsidR="00DA36E6">
        <w:rPr>
          <w:lang w:bidi="he-IL"/>
        </w:rPr>
        <w:t>*</w:t>
      </w:r>
    </w:p>
    <w:p w14:paraId="4D7FD78B" w14:textId="34565951" w:rsidR="00A45D8D" w:rsidRPr="00A45D8D" w:rsidRDefault="00A45D8D" w:rsidP="00A45D8D">
      <w:pPr>
        <w:jc w:val="right"/>
        <w:rPr>
          <w:rtl/>
        </w:rPr>
      </w:pPr>
      <w:r w:rsidRPr="00A45D8D">
        <w:rPr>
          <w:rtl/>
          <w:lang w:bidi="he-IL"/>
        </w:rPr>
        <w:t xml:space="preserve">אקט – המרכז הפלסטיני ליישוב סכסוכים </w:t>
      </w:r>
      <w:r w:rsidR="00DA36E6">
        <w:rPr>
          <w:lang w:bidi="he-IL"/>
        </w:rPr>
        <w:t>*</w:t>
      </w:r>
    </w:p>
    <w:p w14:paraId="3C7CDF37" w14:textId="2BF1E789" w:rsidR="00A45D8D" w:rsidRPr="00A45D8D" w:rsidRDefault="00A45D8D" w:rsidP="00A45D8D">
      <w:pPr>
        <w:jc w:val="right"/>
        <w:rPr>
          <w:rtl/>
        </w:rPr>
      </w:pPr>
      <w:r w:rsidRPr="00A45D8D">
        <w:rPr>
          <w:rtl/>
          <w:lang w:bidi="he-IL"/>
        </w:rPr>
        <w:t xml:space="preserve">פורום המשפחות השכולות הפלסטיני והישראלי </w:t>
      </w:r>
      <w:r w:rsidRPr="00A45D8D">
        <w:t>PCFF</w:t>
      </w:r>
      <w:r w:rsidR="00DA36E6">
        <w:rPr>
          <w:lang w:bidi="he-IL"/>
        </w:rPr>
        <w:t>*</w:t>
      </w:r>
    </w:p>
    <w:p w14:paraId="1D8C1427" w14:textId="5D720C7C" w:rsidR="00A45D8D" w:rsidRPr="00A45D8D" w:rsidRDefault="00A45D8D" w:rsidP="00A45D8D">
      <w:pPr>
        <w:jc w:val="right"/>
        <w:rPr>
          <w:rtl/>
        </w:rPr>
      </w:pPr>
      <w:r w:rsidRPr="00A45D8D">
        <w:rPr>
          <w:rtl/>
        </w:rPr>
        <w:t xml:space="preserve">مصالحة – </w:t>
      </w:r>
      <w:r w:rsidRPr="00A45D8D">
        <w:rPr>
          <w:rtl/>
          <w:lang w:bidi="he-IL"/>
        </w:rPr>
        <w:t xml:space="preserve">פיוס </w:t>
      </w:r>
      <w:r w:rsidR="00DA36E6">
        <w:rPr>
          <w:lang w:bidi="he-IL"/>
        </w:rPr>
        <w:t xml:space="preserve">*  </w:t>
      </w:r>
    </w:p>
    <w:p w14:paraId="21EDE779" w14:textId="7B28E18C" w:rsidR="00A45D8D" w:rsidRPr="00A45D8D" w:rsidRDefault="00A45D8D" w:rsidP="00A45D8D">
      <w:pPr>
        <w:jc w:val="right"/>
        <w:rPr>
          <w:rtl/>
        </w:rPr>
      </w:pPr>
      <w:r w:rsidRPr="00A45D8D">
        <w:rPr>
          <w:rtl/>
          <w:lang w:bidi="he-IL"/>
        </w:rPr>
        <w:t>לוחמים לשלום</w:t>
      </w:r>
      <w:r w:rsidR="00DA36E6">
        <w:rPr>
          <w:lang w:bidi="he-IL"/>
        </w:rPr>
        <w:t>*</w:t>
      </w:r>
    </w:p>
    <w:p w14:paraId="3ED5D57D" w14:textId="3B92D3DA" w:rsidR="00A45D8D" w:rsidRPr="00A45D8D" w:rsidRDefault="00A45D8D" w:rsidP="00A45D8D">
      <w:pPr>
        <w:jc w:val="right"/>
        <w:rPr>
          <w:rtl/>
        </w:rPr>
      </w:pPr>
      <w:r w:rsidRPr="00A45D8D">
        <w:rPr>
          <w:rtl/>
          <w:lang w:bidi="he-IL"/>
        </w:rPr>
        <w:t>הפורום הדמוקרטי הפדרלי</w:t>
      </w:r>
      <w:r w:rsidR="00DA36E6">
        <w:rPr>
          <w:lang w:bidi="he-IL"/>
        </w:rPr>
        <w:t>*</w:t>
      </w:r>
    </w:p>
    <w:p w14:paraId="2C6BEFA8" w14:textId="5F7456AF" w:rsidR="00A45D8D" w:rsidRPr="00A45D8D" w:rsidRDefault="00A45D8D" w:rsidP="00A45D8D">
      <w:pPr>
        <w:jc w:val="right"/>
        <w:rPr>
          <w:rtl/>
        </w:rPr>
      </w:pPr>
      <w:r w:rsidRPr="00A45D8D">
        <w:rPr>
          <w:rtl/>
          <w:lang w:bidi="he-IL"/>
        </w:rPr>
        <w:t>פל אייד</w:t>
      </w:r>
      <w:r w:rsidR="00DA36E6">
        <w:rPr>
          <w:lang w:bidi="he-IL"/>
        </w:rPr>
        <w:t>*</w:t>
      </w:r>
    </w:p>
    <w:p w14:paraId="43D5D24D" w14:textId="5F59AD7D" w:rsidR="00A45D8D" w:rsidRPr="00A45D8D" w:rsidRDefault="00A45D8D" w:rsidP="00A45D8D">
      <w:pPr>
        <w:jc w:val="right"/>
      </w:pPr>
      <w:r w:rsidRPr="00A45D8D">
        <w:rPr>
          <w:rtl/>
          <w:lang w:bidi="he-IL"/>
        </w:rPr>
        <w:t>אגודת בית המומחים הפלסטינית</w:t>
      </w:r>
      <w:r w:rsidR="00DA36E6">
        <w:rPr>
          <w:lang w:bidi="he-IL"/>
        </w:rPr>
        <w:t>*</w:t>
      </w:r>
    </w:p>
    <w:p w14:paraId="7CF1BEBE" w14:textId="6AEE9F14" w:rsidR="00A45D8D" w:rsidRPr="00A45D8D" w:rsidRDefault="00A45D8D" w:rsidP="00A45D8D">
      <w:pPr>
        <w:jc w:val="right"/>
        <w:rPr>
          <w:rtl/>
        </w:rPr>
      </w:pPr>
      <w:r w:rsidRPr="00A45D8D">
        <w:rPr>
          <w:rtl/>
          <w:lang w:bidi="he-IL"/>
        </w:rPr>
        <w:t>סאטיאם הומלנד</w:t>
      </w:r>
      <w:r w:rsidR="00DA36E6">
        <w:rPr>
          <w:lang w:bidi="he-IL"/>
        </w:rPr>
        <w:t>*</w:t>
      </w:r>
    </w:p>
    <w:p w14:paraId="612F7901" w14:textId="314969DE" w:rsidR="00A45D8D" w:rsidRPr="00A45D8D" w:rsidRDefault="00A45D8D" w:rsidP="00A45D8D">
      <w:pPr>
        <w:jc w:val="right"/>
      </w:pPr>
      <w:r w:rsidRPr="00A45D8D">
        <w:rPr>
          <w:rtl/>
          <w:lang w:bidi="he-IL"/>
        </w:rPr>
        <w:t xml:space="preserve">ארץ לכולם </w:t>
      </w:r>
      <w:r w:rsidR="00DA36E6">
        <w:t>*</w:t>
      </w:r>
    </w:p>
    <w:p w14:paraId="1CB39CB7" w14:textId="77777777" w:rsidR="0070689A" w:rsidRPr="00A45D8D" w:rsidRDefault="0070689A" w:rsidP="0070689A">
      <w:pPr>
        <w:jc w:val="center"/>
        <w:rPr>
          <w:rtl/>
        </w:rPr>
      </w:pPr>
    </w:p>
    <w:p w14:paraId="68E6B381" w14:textId="3B40EB90" w:rsidR="00D241D6" w:rsidRPr="00A45D8D" w:rsidRDefault="00D241D6" w:rsidP="0070689A">
      <w:pPr>
        <w:jc w:val="center"/>
      </w:pPr>
    </w:p>
    <w:sectPr w:rsidR="00D241D6" w:rsidRPr="00A45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57E"/>
    <w:rsid w:val="00065131"/>
    <w:rsid w:val="002D657E"/>
    <w:rsid w:val="0070689A"/>
    <w:rsid w:val="00815FCA"/>
    <w:rsid w:val="0082263D"/>
    <w:rsid w:val="00A45D8D"/>
    <w:rsid w:val="00A9574D"/>
    <w:rsid w:val="00D241D6"/>
    <w:rsid w:val="00DA36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B5CE8"/>
  <w15:chartTrackingRefBased/>
  <w15:docId w15:val="{69A1B684-B7E4-4E47-B11E-A5F45A4C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D657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2D657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2D657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2D657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2D657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2D65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D65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D65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D65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2D657E"/>
    <w:rPr>
      <w:rFonts w:asciiTheme="majorHAnsi" w:eastAsiaTheme="majorEastAsia" w:hAnsiTheme="majorHAnsi" w:cstheme="majorBidi"/>
      <w:color w:val="2E74B5" w:themeColor="accent1" w:themeShade="BF"/>
      <w:sz w:val="40"/>
      <w:szCs w:val="40"/>
    </w:rPr>
  </w:style>
  <w:style w:type="character" w:customStyle="1" w:styleId="2Char">
    <w:name w:val="عنوان 2 Char"/>
    <w:basedOn w:val="a0"/>
    <w:link w:val="2"/>
    <w:uiPriority w:val="9"/>
    <w:semiHidden/>
    <w:rsid w:val="002D657E"/>
    <w:rPr>
      <w:rFonts w:asciiTheme="majorHAnsi" w:eastAsiaTheme="majorEastAsia" w:hAnsiTheme="majorHAnsi" w:cstheme="majorBidi"/>
      <w:color w:val="2E74B5" w:themeColor="accent1" w:themeShade="BF"/>
      <w:sz w:val="32"/>
      <w:szCs w:val="32"/>
    </w:rPr>
  </w:style>
  <w:style w:type="character" w:customStyle="1" w:styleId="3Char">
    <w:name w:val="عنوان 3 Char"/>
    <w:basedOn w:val="a0"/>
    <w:link w:val="3"/>
    <w:uiPriority w:val="9"/>
    <w:semiHidden/>
    <w:rsid w:val="002D657E"/>
    <w:rPr>
      <w:rFonts w:eastAsiaTheme="majorEastAsia" w:cstheme="majorBidi"/>
      <w:color w:val="2E74B5" w:themeColor="accent1" w:themeShade="BF"/>
      <w:sz w:val="28"/>
      <w:szCs w:val="28"/>
    </w:rPr>
  </w:style>
  <w:style w:type="character" w:customStyle="1" w:styleId="4Char">
    <w:name w:val="عنوان 4 Char"/>
    <w:basedOn w:val="a0"/>
    <w:link w:val="4"/>
    <w:uiPriority w:val="9"/>
    <w:semiHidden/>
    <w:rsid w:val="002D657E"/>
    <w:rPr>
      <w:rFonts w:eastAsiaTheme="majorEastAsia" w:cstheme="majorBidi"/>
      <w:i/>
      <w:iCs/>
      <w:color w:val="2E74B5" w:themeColor="accent1" w:themeShade="BF"/>
    </w:rPr>
  </w:style>
  <w:style w:type="character" w:customStyle="1" w:styleId="5Char">
    <w:name w:val="عنوان 5 Char"/>
    <w:basedOn w:val="a0"/>
    <w:link w:val="5"/>
    <w:uiPriority w:val="9"/>
    <w:semiHidden/>
    <w:rsid w:val="002D657E"/>
    <w:rPr>
      <w:rFonts w:eastAsiaTheme="majorEastAsia" w:cstheme="majorBidi"/>
      <w:color w:val="2E74B5" w:themeColor="accent1" w:themeShade="BF"/>
    </w:rPr>
  </w:style>
  <w:style w:type="character" w:customStyle="1" w:styleId="6Char">
    <w:name w:val="عنوان 6 Char"/>
    <w:basedOn w:val="a0"/>
    <w:link w:val="6"/>
    <w:uiPriority w:val="9"/>
    <w:semiHidden/>
    <w:rsid w:val="002D657E"/>
    <w:rPr>
      <w:rFonts w:eastAsiaTheme="majorEastAsia" w:cstheme="majorBidi"/>
      <w:i/>
      <w:iCs/>
      <w:color w:val="595959" w:themeColor="text1" w:themeTint="A6"/>
    </w:rPr>
  </w:style>
  <w:style w:type="character" w:customStyle="1" w:styleId="7Char">
    <w:name w:val="عنوان 7 Char"/>
    <w:basedOn w:val="a0"/>
    <w:link w:val="7"/>
    <w:uiPriority w:val="9"/>
    <w:semiHidden/>
    <w:rsid w:val="002D657E"/>
    <w:rPr>
      <w:rFonts w:eastAsiaTheme="majorEastAsia" w:cstheme="majorBidi"/>
      <w:color w:val="595959" w:themeColor="text1" w:themeTint="A6"/>
    </w:rPr>
  </w:style>
  <w:style w:type="character" w:customStyle="1" w:styleId="8Char">
    <w:name w:val="عنوان 8 Char"/>
    <w:basedOn w:val="a0"/>
    <w:link w:val="8"/>
    <w:uiPriority w:val="9"/>
    <w:semiHidden/>
    <w:rsid w:val="002D657E"/>
    <w:rPr>
      <w:rFonts w:eastAsiaTheme="majorEastAsia" w:cstheme="majorBidi"/>
      <w:i/>
      <w:iCs/>
      <w:color w:val="272727" w:themeColor="text1" w:themeTint="D8"/>
    </w:rPr>
  </w:style>
  <w:style w:type="character" w:customStyle="1" w:styleId="9Char">
    <w:name w:val="عنوان 9 Char"/>
    <w:basedOn w:val="a0"/>
    <w:link w:val="9"/>
    <w:uiPriority w:val="9"/>
    <w:semiHidden/>
    <w:rsid w:val="002D657E"/>
    <w:rPr>
      <w:rFonts w:eastAsiaTheme="majorEastAsia" w:cstheme="majorBidi"/>
      <w:color w:val="272727" w:themeColor="text1" w:themeTint="D8"/>
    </w:rPr>
  </w:style>
  <w:style w:type="paragraph" w:styleId="a3">
    <w:name w:val="Title"/>
    <w:basedOn w:val="a"/>
    <w:next w:val="a"/>
    <w:link w:val="Char"/>
    <w:uiPriority w:val="10"/>
    <w:qFormat/>
    <w:rsid w:val="002D6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2D657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D657E"/>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2D657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D657E"/>
    <w:pPr>
      <w:spacing w:before="160"/>
      <w:jc w:val="center"/>
    </w:pPr>
    <w:rPr>
      <w:i/>
      <w:iCs/>
      <w:color w:val="404040" w:themeColor="text1" w:themeTint="BF"/>
    </w:rPr>
  </w:style>
  <w:style w:type="character" w:customStyle="1" w:styleId="Char1">
    <w:name w:val="اقتباس Char"/>
    <w:basedOn w:val="a0"/>
    <w:link w:val="a5"/>
    <w:uiPriority w:val="29"/>
    <w:rsid w:val="002D657E"/>
    <w:rPr>
      <w:i/>
      <w:iCs/>
      <w:color w:val="404040" w:themeColor="text1" w:themeTint="BF"/>
    </w:rPr>
  </w:style>
  <w:style w:type="paragraph" w:styleId="a6">
    <w:name w:val="List Paragraph"/>
    <w:basedOn w:val="a"/>
    <w:uiPriority w:val="34"/>
    <w:qFormat/>
    <w:rsid w:val="002D657E"/>
    <w:pPr>
      <w:ind w:left="720"/>
      <w:contextualSpacing/>
    </w:pPr>
  </w:style>
  <w:style w:type="character" w:styleId="a7">
    <w:name w:val="Intense Emphasis"/>
    <w:basedOn w:val="a0"/>
    <w:uiPriority w:val="21"/>
    <w:qFormat/>
    <w:rsid w:val="002D657E"/>
    <w:rPr>
      <w:i/>
      <w:iCs/>
      <w:color w:val="2E74B5" w:themeColor="accent1" w:themeShade="BF"/>
    </w:rPr>
  </w:style>
  <w:style w:type="paragraph" w:styleId="a8">
    <w:name w:val="Intense Quote"/>
    <w:basedOn w:val="a"/>
    <w:next w:val="a"/>
    <w:link w:val="Char2"/>
    <w:uiPriority w:val="30"/>
    <w:qFormat/>
    <w:rsid w:val="002D65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اقتباس مكثف Char"/>
    <w:basedOn w:val="a0"/>
    <w:link w:val="a8"/>
    <w:uiPriority w:val="30"/>
    <w:rsid w:val="002D657E"/>
    <w:rPr>
      <w:i/>
      <w:iCs/>
      <w:color w:val="2E74B5" w:themeColor="accent1" w:themeShade="BF"/>
    </w:rPr>
  </w:style>
  <w:style w:type="character" w:styleId="a9">
    <w:name w:val="Intense Reference"/>
    <w:basedOn w:val="a0"/>
    <w:uiPriority w:val="32"/>
    <w:qFormat/>
    <w:rsid w:val="002D657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628</Words>
  <Characters>3586</Characters>
  <Application>Microsoft Office Word</Application>
  <DocSecurity>0</DocSecurity>
  <Lines>29</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dc:creator>
  <cp:keywords/>
  <dc:description/>
  <cp:lastModifiedBy>Mohammad</cp:lastModifiedBy>
  <cp:revision>1</cp:revision>
  <dcterms:created xsi:type="dcterms:W3CDTF">2026-10-27T11:14:00Z</dcterms:created>
  <dcterms:modified xsi:type="dcterms:W3CDTF">2026-10-27T11:56:00Z</dcterms:modified>
</cp:coreProperties>
</file>